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C5" w:rsidRPr="004935C5" w:rsidRDefault="004935C5" w:rsidP="004935C5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4935C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Прага-Париж-Берлин</w:t>
      </w:r>
    </w:p>
    <w:bookmarkEnd w:id="0"/>
    <w:p w:rsidR="007720FF" w:rsidRPr="00A21DC2" w:rsidRDefault="00A21DC2" w:rsidP="004935C5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A21DC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Автобусный тур по Европе на 6 дней, с посещением Праги, Берлина + 2 дня в Париже Обзорные экскурсии уже включены.</w:t>
      </w:r>
    </w:p>
    <w:p w:rsidR="007720FF" w:rsidRDefault="007720FF" w:rsidP="004935C5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4935C5" w:rsidRPr="004935C5" w:rsidRDefault="00A82FD2" w:rsidP="0049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4935C5" w:rsidRPr="004935C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Германию</w:t>
      </w:r>
    </w:p>
    <w:p w:rsidR="007720FF" w:rsidRPr="00A21DC2" w:rsidRDefault="00A21DC2" w:rsidP="004935C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Отправление из Минска рано утром, ориентировочно в 4 часа утра, с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д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/</w:t>
      </w:r>
      <w:proofErr w:type="gram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с</w:t>
      </w:r>
      <w:proofErr w:type="gram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Дружная</w:t>
      </w:r>
      <w:proofErr w:type="gram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(обратная сторона ж/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д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вокзала). Остановки по маршруту в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г</w:t>
      </w:r>
      <w:proofErr w:type="gram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. Барановичи и в г. Брест для посадки туристов. Прохождение белорусско-польской границы. Ночлег.</w:t>
      </w:r>
    </w:p>
    <w:p w:rsidR="00A21DC2" w:rsidRDefault="00A21DC2" w:rsidP="004935C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935C5" w:rsidRPr="004935C5" w:rsidRDefault="00A82FD2" w:rsidP="0049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4935C5" w:rsidRPr="004935C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>Завтрак в отеле и выселение. Переезд в </w:t>
      </w:r>
      <w:hyperlink r:id="rId5" w:tgtFrame="_blank" w:history="1">
        <w:r w:rsidRPr="00A21DC2">
          <w:rPr>
            <w:rStyle w:val="a5"/>
            <w:rFonts w:ascii="Arial" w:hAnsi="Arial" w:cs="Arial"/>
            <w:sz w:val="25"/>
            <w:szCs w:val="25"/>
          </w:rPr>
          <w:t>Прагу</w:t>
        </w:r>
      </w:hyperlink>
      <w:r w:rsidRPr="00A21DC2">
        <w:rPr>
          <w:rFonts w:ascii="Arial" w:hAnsi="Arial" w:cs="Arial"/>
          <w:color w:val="000000"/>
          <w:sz w:val="25"/>
          <w:szCs w:val="25"/>
        </w:rPr>
        <w:t xml:space="preserve">. По приезду отправляемся на обзорную экскурсию по городу: древняя Пороховая башня, Сословный театр, первый Пражский университет, костел девы Марии перед Тыном,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Староместская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площадь, Астрономические часы с небесной механикой на ратуше, еврейский квартал Йозефов, Карлова улица…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>и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 xml:space="preserve"> конечно же, Карлов мост, где обязательно нужно остановиться для того, чтоб загадать желание. Далее свободное время для самостоятельного знакомства с городом, а желающим предлагаем дополнительные экскурсии: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Круиз по Влтаве (27 евро). 2х часовой круиз по красавице Влтаве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 xml:space="preserve"> шведским столом. Во время круиза Вам так же проведут увлекательную экскурсию.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>• Мистическая Прага (15 евро). Самая захватывающая и мистическая экскурсия по Праге. Вы узнаете потаенные секреты узких Пражских улочек, Вам расскажут леденящие душу истории о водяных и ведьмах, а также о таинственном ордене алхимиков.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Экскурсия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Градчаны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и Пражский Град (10 евро). В процессе авторской экскурсии мы увидим достопримечательности мирового уровня, внесенные в список всемирного наследия ЮНЕСКО. Познакомимся с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Градчанами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– престижным районом, некогда поселением, которое было основано у стен королевской резиденции. А также непосредственно с Пражским Градом, бывшей королевской резиденцией, а ныне визитной карточкой Праги, в центре которой возвышается собор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 xml:space="preserve"> С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>в. Вита.</w:t>
      </w:r>
      <w:r w:rsidRPr="00A21DC2">
        <w:rPr>
          <w:rFonts w:ascii="Arial" w:hAnsi="Arial" w:cs="Arial"/>
          <w:color w:val="000000"/>
          <w:sz w:val="25"/>
          <w:szCs w:val="25"/>
        </w:rPr>
        <w:br/>
        <w:t>Ночной переезд в Париж.</w:t>
      </w:r>
    </w:p>
    <w:p w:rsidR="004935C5" w:rsidRPr="004935C5" w:rsidRDefault="00A82FD2" w:rsidP="0049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4935C5" w:rsidRPr="004935C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>Остановка на завтрак (в стоимость не включено). Отправляемся в столицу Франции, где нас ждет автобусная, обзорная экскурсия по </w:t>
      </w:r>
      <w:hyperlink r:id="rId6" w:tgtFrame="_blank" w:history="1">
        <w:r w:rsidRPr="00A21DC2">
          <w:rPr>
            <w:rStyle w:val="a5"/>
            <w:rFonts w:ascii="Arial" w:hAnsi="Arial" w:cs="Arial"/>
            <w:sz w:val="25"/>
            <w:szCs w:val="25"/>
          </w:rPr>
          <w:t>Парижу</w:t>
        </w:r>
      </w:hyperlink>
      <w:r w:rsidRPr="00A21DC2">
        <w:rPr>
          <w:rFonts w:ascii="Arial" w:hAnsi="Arial" w:cs="Arial"/>
          <w:color w:val="000000"/>
          <w:sz w:val="25"/>
          <w:szCs w:val="25"/>
        </w:rPr>
        <w:t xml:space="preserve">. Экскурсия включает в себя осмотр основных достопримечательностей, коих не так уж и мало: Эйфелева башня, площадь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Трокадеро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Дом Инвалидов, мост Александра III, Елисейские Поля, Триумфальная арка, Президентский Дворец, площадь Согласия, площадь Мадлен, Опера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Гарнье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Вандомская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площадь, Лувр, площадь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Шателе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Консьержери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площадь Бастилия, площадь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Вогезов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улица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Риволи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>, Пантеон.</w:t>
      </w:r>
      <w:r w:rsidRPr="00A21DC2">
        <w:rPr>
          <w:rFonts w:ascii="Arial" w:hAnsi="Arial" w:cs="Arial"/>
          <w:color w:val="000000"/>
          <w:sz w:val="25"/>
          <w:szCs w:val="25"/>
        </w:rPr>
        <w:br/>
        <w:t>Далее свободное время в городе, для желающих предлагаем дополнительные, тематические экскурсии:</w:t>
      </w:r>
      <w:r w:rsidRPr="00A21DC2">
        <w:rPr>
          <w:rFonts w:ascii="Arial" w:hAnsi="Arial" w:cs="Arial"/>
          <w:color w:val="000000"/>
          <w:sz w:val="25"/>
          <w:szCs w:val="25"/>
        </w:rPr>
        <w:br/>
      </w:r>
      <w:r w:rsidRPr="00A21DC2">
        <w:rPr>
          <w:rFonts w:ascii="Arial" w:hAnsi="Arial" w:cs="Arial"/>
          <w:color w:val="000000"/>
          <w:sz w:val="25"/>
          <w:szCs w:val="25"/>
        </w:rPr>
        <w:lastRenderedPageBreak/>
        <w:t xml:space="preserve">• Экскурсия по Монмартру (15 евро). Монмартр – это возвышенность, холм в самом сердце Парижа, на вершине которого величественно возвышается собор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Сакре-Кёр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или собор Сердца Христова. Монмартр знаменит еще и тем, что это и творческий центр Парижа. Здесь снискали славу все известные и выдающиеся художники. Площадь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Тертр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или площадь художников, до сих пор бурлит жизнью и предлагает увезти частичку того самого Парижа с собой.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Круиз по реке Сена (15 евро). Круиз по «артерии Парижа» знаменитой Сене с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аудиогидом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>.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Экскурсия по Латинскому кварталу (20 евро). Латинский квартал – это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>по истине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 xml:space="preserve"> культовое место. Как говорят местные, это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>место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 xml:space="preserve"> откуда начался Париж. Здесь расположены самые известные и знаменитые места Парижа: Собор Парижской Богоматери, Люксембургский сад и место всех влюбленных – площадь Латинского Квартала.</w:t>
      </w:r>
    </w:p>
    <w:p w:rsidR="00A82FD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Экскурсия по ночному Парижу (15 евро). </w:t>
      </w:r>
      <w:proofErr w:type="gramStart"/>
      <w:r w:rsidRPr="00A21DC2">
        <w:rPr>
          <w:rFonts w:ascii="Arial" w:hAnsi="Arial" w:cs="Arial"/>
          <w:color w:val="000000"/>
          <w:sz w:val="25"/>
          <w:szCs w:val="25"/>
        </w:rPr>
        <w:t>По истине</w:t>
      </w:r>
      <w:proofErr w:type="gramEnd"/>
      <w:r w:rsidRPr="00A21DC2">
        <w:rPr>
          <w:rFonts w:ascii="Arial" w:hAnsi="Arial" w:cs="Arial"/>
          <w:color w:val="000000"/>
          <w:sz w:val="25"/>
          <w:szCs w:val="25"/>
        </w:rPr>
        <w:t xml:space="preserve"> завораживающее зрелище откроется нам на Париж в ночное время, когда включается вечерняя иллюминация и столицу украшают миллионы огней. Для нас в новом амплуа откроются и оставят в памяти только яркие образы Триумфальная Арка, мост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Мирабо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, Марсово поле, несравненные Елисейские Поля. А завершим экскурсию на площади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Трокадеро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 в районе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Ла-Де-Франс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>.</w:t>
      </w:r>
      <w:r w:rsidRPr="00A21DC2">
        <w:rPr>
          <w:rFonts w:ascii="Arial" w:hAnsi="Arial" w:cs="Arial"/>
          <w:color w:val="000000"/>
          <w:sz w:val="25"/>
          <w:szCs w:val="25"/>
        </w:rPr>
        <w:br/>
        <w:t>Вечером заселение в отель в Париже, либо пригороде. Ночлег.</w:t>
      </w:r>
    </w:p>
    <w:p w:rsidR="004935C5" w:rsidRPr="004935C5" w:rsidRDefault="00A82FD2" w:rsidP="0049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4935C5" w:rsidRPr="004935C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Диснейленд, Нормандия</w:t>
      </w:r>
      <w:r w:rsidR="007720F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Версаль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>Завтрак в отеле и выселение. Свободное время в Париже. Желающим предлагаем провести день с пользой и отправиться на дополнительные экскурсии:</w:t>
      </w:r>
      <w:r w:rsidRPr="00A21DC2">
        <w:rPr>
          <w:rFonts w:ascii="Arial" w:hAnsi="Arial" w:cs="Arial"/>
          <w:color w:val="000000"/>
          <w:sz w:val="25"/>
          <w:szCs w:val="25"/>
        </w:rPr>
        <w:br/>
        <w:t>• Экскурсия в Диснейленд (от 70 евро). Мечта любого взрослого, когда он был ребенком. Самое время ее исполнить или же подарить впечатления своему ребенку.</w:t>
      </w:r>
    </w:p>
    <w:p w:rsidR="00A21DC2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 xml:space="preserve">• Экскурсия в Нормандию (40 евро). Регион на севере Франции, где мы посетим старинный город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Руанд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 xml:space="preserve">. А также атмосферный городок курорт на побережье Ла-Манша –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</w:rPr>
        <w:t>Довиль-Трувиль</w:t>
      </w:r>
      <w:proofErr w:type="spellEnd"/>
      <w:r w:rsidRPr="00A21DC2">
        <w:rPr>
          <w:rFonts w:ascii="Arial" w:hAnsi="Arial" w:cs="Arial"/>
          <w:color w:val="000000"/>
          <w:sz w:val="25"/>
          <w:szCs w:val="25"/>
        </w:rPr>
        <w:t>.</w:t>
      </w:r>
    </w:p>
    <w:p w:rsidR="007720FF" w:rsidRPr="00A21DC2" w:rsidRDefault="00A21DC2" w:rsidP="00A21DC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A21DC2">
        <w:rPr>
          <w:rFonts w:ascii="Arial" w:hAnsi="Arial" w:cs="Arial"/>
          <w:color w:val="000000"/>
          <w:sz w:val="25"/>
          <w:szCs w:val="25"/>
        </w:rPr>
        <w:t>• Поездка в Версаль (12 евро). Отправимся на фото экскурсию в самый красивый и самый крупный в мире дворцово-парковый комплекс, место – где жили целый эпохи королей.</w:t>
      </w:r>
      <w:r w:rsidRPr="00A21DC2">
        <w:rPr>
          <w:rFonts w:ascii="Arial" w:hAnsi="Arial" w:cs="Arial"/>
          <w:color w:val="000000"/>
          <w:sz w:val="25"/>
          <w:szCs w:val="25"/>
        </w:rPr>
        <w:br/>
        <w:t>Поздно вечером отправление в Германию. Ночной переезд.</w:t>
      </w:r>
    </w:p>
    <w:p w:rsidR="004935C5" w:rsidRPr="004935C5" w:rsidRDefault="00A82FD2" w:rsidP="0049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4935C5" w:rsidRPr="004935C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Берлин</w:t>
      </w:r>
    </w:p>
    <w:p w:rsidR="00A21DC2" w:rsidRPr="00A21DC2" w:rsidRDefault="00A21DC2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Остановка на завтрак (в стоимость не включено). Переезд в </w:t>
      </w:r>
      <w:hyperlink r:id="rId7" w:tgtFrame="_blank" w:history="1">
        <w:r w:rsidRPr="00A21DC2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Берлин</w:t>
        </w:r>
      </w:hyperlink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по приезду нас ожидает обзорная экскурсия по городу: район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Митте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Александр Плац и фонтан Нептуна, Красная Ратуша,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Николайкирхе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Музейный остров, Унтер –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ден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Линден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. Далее свободное время. Желающим предлагаем следующие дополнительные экскурсии:</w:t>
      </w:r>
      <w:r w:rsidRPr="00A21DC2">
        <w:rPr>
          <w:rFonts w:ascii="Arial" w:hAnsi="Arial" w:cs="Arial"/>
          <w:color w:val="000000"/>
          <w:sz w:val="25"/>
          <w:szCs w:val="25"/>
        </w:rPr>
        <w:br/>
      </w:r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• Авторская автобусная экскурсия “Секреты Берлина”(15 евро). В рамках экскурсии мы увидим самый большой остаток берлинской стены, тут целуются Брежнев и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Хонекер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а также: Сони центр,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Чекпоинт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Чарли, памятник Холокосту, парк </w:t>
      </w:r>
      <w:proofErr w:type="spellStart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Тиргартен</w:t>
      </w:r>
      <w:proofErr w:type="spellEnd"/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, Бранденбургские ворота, Рейхстаг и Бундестаг.</w:t>
      </w:r>
      <w:r w:rsidRPr="00A21DC2">
        <w:rPr>
          <w:rFonts w:ascii="Arial" w:hAnsi="Arial" w:cs="Arial"/>
          <w:color w:val="000000"/>
          <w:sz w:val="25"/>
          <w:szCs w:val="25"/>
        </w:rPr>
        <w:br/>
      </w:r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Переезд на ночевку в транзитном отеле на границе Польши и Германии.</w:t>
      </w:r>
    </w:p>
    <w:p w:rsidR="004935C5" w:rsidRDefault="00A82FD2">
      <w:pP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6 день. </w:t>
      </w:r>
      <w:r w:rsidR="004935C5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Беларусь</w:t>
      </w:r>
    </w:p>
    <w:p w:rsidR="00A21DC2" w:rsidRPr="00A21DC2" w:rsidRDefault="00A21DC2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21DC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в гостинице и выселение. Переезд в Беларусь. По дороге предлагаем остановиться на экскурсию в германо-польском городе – Познань(12 евро). Возвращение поздно вечером, возможно ночью.</w:t>
      </w:r>
    </w:p>
    <w:tbl>
      <w:tblPr>
        <w:tblW w:w="4640" w:type="dxa"/>
        <w:tblInd w:w="1942" w:type="dxa"/>
        <w:tblLook w:val="04A0"/>
      </w:tblPr>
      <w:tblGrid>
        <w:gridCol w:w="3480"/>
        <w:gridCol w:w="1160"/>
      </w:tblGrid>
      <w:tr w:rsidR="00A21DC2" w:rsidRPr="00A21DC2" w:rsidTr="00A21DC2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A21DC2" w:rsidRPr="00A21DC2" w:rsidTr="00A21DC2">
        <w:trPr>
          <w:trHeight w:val="3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26.01.2021 - 31.01.2021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13.02.2021 - 18.02.2021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03.03.2021 - 08.03.2021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23.03.2021 - 28.03.2021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30.03.2021 - 04.04.2021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13.04.2021 - 18.04.2021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01.05.2021 - 06.05.2021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06.05.2021 - 11.05.2021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07.06.2021 - 12.06.2021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21.06.2021 - 26.06.2021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05.07.2021 - 10.07.2021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19.07.2021 - 24.07.2021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02.08.2021 - 07.08.2021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16.08.2021 - 21.08.2021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30.08.2021 - 04.09.2021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13.09.2021 - 18.09.2021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  <w:tr w:rsidR="00A21DC2" w:rsidRPr="00A21DC2" w:rsidTr="00A21DC2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27.09.2021 - 02.10.2021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A21DC2" w:rsidRPr="00A21DC2" w:rsidRDefault="00A21DC2" w:rsidP="00A21DC2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A21DC2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€ 165</w:t>
            </w:r>
          </w:p>
        </w:tc>
      </w:tr>
    </w:tbl>
    <w:p w:rsidR="00A82FD2" w:rsidRDefault="00A82FD2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7720FF" w:rsidRPr="007720FF" w:rsidRDefault="007720FF" w:rsidP="007720F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7720FF" w:rsidRPr="007720FF" w:rsidRDefault="007720FF" w:rsidP="007720F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и завтраки в гостиницах по маршруту;</w:t>
      </w:r>
    </w:p>
    <w:p w:rsidR="007720FF" w:rsidRPr="007720FF" w:rsidRDefault="007720FF" w:rsidP="007720F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автобусе;</w:t>
      </w:r>
    </w:p>
    <w:p w:rsidR="007720FF" w:rsidRPr="007720FF" w:rsidRDefault="007720FF" w:rsidP="007720F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Берлину, Праге, Парижу.</w:t>
      </w:r>
    </w:p>
    <w:p w:rsidR="007720FF" w:rsidRPr="007720FF" w:rsidRDefault="007720FF" w:rsidP="007720F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в размере 50.00 рублей;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Входные билеты;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общественном транспорте;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Страховка;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Конкретизация места 10 евро по желанию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экскурсии.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Передвижение по Парижу на общественном транспорте;</w:t>
      </w:r>
    </w:p>
    <w:p w:rsidR="007720FF" w:rsidRPr="007720FF" w:rsidRDefault="007720FF" w:rsidP="007720FF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 (бесплатные визы для детских и студенческих организованных групп)</w:t>
      </w:r>
    </w:p>
    <w:p w:rsidR="004935C5" w:rsidRPr="004935C5" w:rsidRDefault="004935C5" w:rsidP="004935C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35C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 (бесплатные визы для детских и студенческих организованных групп)</w:t>
      </w:r>
    </w:p>
    <w:p w:rsidR="004935C5" w:rsidRDefault="004935C5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935C5" w:rsidRDefault="004935C5"/>
    <w:sectPr w:rsidR="004935C5" w:rsidSect="009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95C"/>
    <w:multiLevelType w:val="multilevel"/>
    <w:tmpl w:val="72A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E5860"/>
    <w:multiLevelType w:val="multilevel"/>
    <w:tmpl w:val="4A30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23F39"/>
    <w:multiLevelType w:val="multilevel"/>
    <w:tmpl w:val="459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949FC"/>
    <w:multiLevelType w:val="multilevel"/>
    <w:tmpl w:val="F43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C5"/>
    <w:rsid w:val="001B5F2E"/>
    <w:rsid w:val="002F3C60"/>
    <w:rsid w:val="004317AA"/>
    <w:rsid w:val="004935C5"/>
    <w:rsid w:val="007720FF"/>
    <w:rsid w:val="00905045"/>
    <w:rsid w:val="00A21DC2"/>
    <w:rsid w:val="00A8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45"/>
  </w:style>
  <w:style w:type="paragraph" w:styleId="1">
    <w:name w:val="heading 1"/>
    <w:basedOn w:val="a"/>
    <w:link w:val="10"/>
    <w:uiPriority w:val="9"/>
    <w:qFormat/>
    <w:rsid w:val="0049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935C5"/>
    <w:rPr>
      <w:b/>
      <w:bCs/>
    </w:rPr>
  </w:style>
  <w:style w:type="paragraph" w:styleId="a4">
    <w:name w:val="Normal (Web)"/>
    <w:basedOn w:val="a"/>
    <w:uiPriority w:val="99"/>
    <w:unhideWhenUsed/>
    <w:rsid w:val="004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4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2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turizm.by/turistam/kuda-poekhat-otdykhat/be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parizh/" TargetMode="Externa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2021-01-11T14:48:00Z</dcterms:created>
  <dcterms:modified xsi:type="dcterms:W3CDTF">2021-01-11T14:48:00Z</dcterms:modified>
</cp:coreProperties>
</file>